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11" w:rsidRDefault="00EE7511" w:rsidP="00EE7511">
      <w:pPr>
        <w:tabs>
          <w:tab w:val="left" w:pos="0"/>
          <w:tab w:val="left" w:pos="1080"/>
          <w:tab w:val="left" w:pos="1134"/>
        </w:tabs>
        <w:ind w:firstLine="680"/>
        <w:jc w:val="center"/>
        <w:rPr>
          <w:lang w:val="uk-UA"/>
        </w:rPr>
      </w:pPr>
      <w:r w:rsidRPr="00EB0D0B">
        <w:rPr>
          <w:lang w:val="uk-UA"/>
        </w:rPr>
        <w:t>Досвід безперервної освіти в системі державного управління та місцевого самоврядування в країнах ЄС</w:t>
      </w:r>
    </w:p>
    <w:p w:rsidR="00661A79" w:rsidRDefault="00661A79" w:rsidP="00EB0D0B">
      <w:pPr>
        <w:rPr>
          <w:color w:val="000000"/>
          <w:lang w:val="uk-UA"/>
        </w:rPr>
      </w:pPr>
    </w:p>
    <w:p w:rsidR="00EE7511" w:rsidRPr="00EB0D0B" w:rsidRDefault="00EB0D0B" w:rsidP="00EB0D0B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</w:t>
      </w:r>
      <w:r w:rsidR="00EE7511" w:rsidRPr="00EB0D0B">
        <w:rPr>
          <w:color w:val="000000"/>
          <w:lang w:val="uk-UA"/>
        </w:rPr>
        <w:t>Діденко Н. Г.</w:t>
      </w:r>
      <w:r w:rsidR="006B72DC">
        <w:rPr>
          <w:color w:val="000000"/>
          <w:lang w:val="uk-UA"/>
        </w:rPr>
        <w:t xml:space="preserve">, </w:t>
      </w:r>
      <w:r w:rsidR="00EE7511" w:rsidRPr="00EB0D0B">
        <w:rPr>
          <w:color w:val="000000"/>
          <w:lang w:val="uk-UA"/>
        </w:rPr>
        <w:t xml:space="preserve"> д.держ.упр, професор,</w:t>
      </w:r>
    </w:p>
    <w:p w:rsidR="00EB0D0B" w:rsidRDefault="00EB0D0B" w:rsidP="00EB0D0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</w:t>
      </w:r>
      <w:r w:rsidR="00EE7511" w:rsidRPr="00EB0D0B">
        <w:rPr>
          <w:lang w:val="uk-UA"/>
        </w:rPr>
        <w:t xml:space="preserve">декан факультету державного управління, </w:t>
      </w:r>
    </w:p>
    <w:p w:rsidR="00EE7511" w:rsidRPr="00EB0D0B" w:rsidRDefault="00EB0D0B" w:rsidP="00EB0D0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</w:t>
      </w:r>
      <w:r w:rsidR="00EE7511" w:rsidRPr="00EB0D0B">
        <w:rPr>
          <w:lang w:val="uk-UA"/>
        </w:rPr>
        <w:t>завідувач кафедри філософії і психології</w:t>
      </w:r>
      <w:r>
        <w:rPr>
          <w:lang w:val="uk-UA"/>
        </w:rPr>
        <w:t>,</w:t>
      </w:r>
    </w:p>
    <w:p w:rsidR="00EE7511" w:rsidRDefault="00EB0D0B" w:rsidP="00EB0D0B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</w:t>
      </w:r>
      <w:r w:rsidR="00EE7511" w:rsidRPr="00EB0D0B">
        <w:rPr>
          <w:color w:val="000000"/>
          <w:lang w:val="uk-UA"/>
        </w:rPr>
        <w:t>Донецький державний університет управління</w:t>
      </w:r>
    </w:p>
    <w:p w:rsidR="001914E3" w:rsidRDefault="006B72DC" w:rsidP="00F307E2">
      <w:pPr>
        <w:ind w:firstLine="680"/>
        <w:jc w:val="both"/>
        <w:rPr>
          <w:lang w:val="uk-UA"/>
        </w:rPr>
      </w:pPr>
      <w:r>
        <w:rPr>
          <w:rStyle w:val="hps"/>
          <w:rFonts w:eastAsiaTheme="majorEastAsia"/>
          <w:color w:val="333333"/>
          <w:lang w:val="uk-UA"/>
        </w:rPr>
        <w:t>У</w:t>
      </w:r>
      <w:r w:rsidRPr="00EB0D0B">
        <w:rPr>
          <w:rStyle w:val="hps"/>
          <w:rFonts w:eastAsiaTheme="majorEastAsia"/>
          <w:color w:val="333333"/>
          <w:lang w:val="uk-UA"/>
        </w:rPr>
        <w:t xml:space="preserve"> країнах ЄС</w:t>
      </w:r>
      <w:r>
        <w:rPr>
          <w:rStyle w:val="hps"/>
          <w:rFonts w:eastAsiaTheme="majorEastAsia"/>
          <w:color w:val="333333"/>
          <w:lang w:val="uk-UA"/>
        </w:rPr>
        <w:t xml:space="preserve"> </w:t>
      </w:r>
      <w:r w:rsidR="00EB0D0B" w:rsidRPr="00EB0D0B">
        <w:rPr>
          <w:color w:val="333333"/>
          <w:lang w:val="uk-UA"/>
        </w:rPr>
        <w:t xml:space="preserve">розвиваються різноманітні системи безперервної освіти </w:t>
      </w:r>
      <w:r w:rsidR="00EB0D0B" w:rsidRPr="00EB0D0B">
        <w:rPr>
          <w:lang w:val="uk-UA"/>
        </w:rPr>
        <w:t>державних службовців та посадових осіб органів місцевого самоврядування, що залежить від умов конкретної країни, статусу державної служби та законодавчих основ професійного навчання.</w:t>
      </w:r>
      <w:r w:rsidR="00F307E2">
        <w:rPr>
          <w:lang w:val="uk-UA"/>
        </w:rPr>
        <w:t xml:space="preserve"> Європейські структури, з</w:t>
      </w:r>
      <w:r w:rsidRPr="00EB0D0B">
        <w:rPr>
          <w:lang w:val="uk-UA" w:eastAsia="de-DE"/>
        </w:rPr>
        <w:t>окрема, Рада Європи та Конгрес місцевих і регіональних влад активно сприяють застосуванню нових інноваційних інструментів навчання муніципальних службовців та депутатів місцевих рад. У 1995 році за ініціативою Ради Європи було створено Європейську мережу навчальних закладів для органів місцевого самоврядування (</w:t>
      </w:r>
      <w:r w:rsidRPr="00EB0D0B">
        <w:rPr>
          <w:lang w:val="de-DE" w:eastAsia="de-DE"/>
        </w:rPr>
        <w:t>ENTO</w:t>
      </w:r>
      <w:r w:rsidRPr="00EB0D0B">
        <w:rPr>
          <w:lang w:val="uk-UA" w:eastAsia="de-DE"/>
        </w:rPr>
        <w:t xml:space="preserve">), яка об’єднує вищі навчальні заклади, тренінгові центри, неурядові організації, органи місцевого самоврядування та їх асоціації з майже усіх держав - членів Ради Європи. </w:t>
      </w:r>
      <w:r w:rsidR="00046D4F">
        <w:rPr>
          <w:lang w:val="uk-UA"/>
        </w:rPr>
        <w:t>Як свідчить аналіз, у</w:t>
      </w:r>
      <w:r w:rsidRPr="00EB0D0B">
        <w:rPr>
          <w:rStyle w:val="hps"/>
          <w:rFonts w:eastAsiaTheme="majorEastAsia"/>
          <w:color w:val="333333"/>
          <w:lang w:val="uk-UA"/>
        </w:rPr>
        <w:t xml:space="preserve"> галузі державного управління розвиток безперервної освіти зорієнтований на </w:t>
      </w:r>
      <w:r w:rsidRPr="00EB0D0B">
        <w:rPr>
          <w:lang w:val="uk-UA"/>
        </w:rPr>
        <w:t>впровадження п’яти основних принципів діяльності державних службовців: відкритість, співучасть, відповідальність, ефективність, узгодженість</w:t>
      </w:r>
      <w:r w:rsidR="001914E3">
        <w:rPr>
          <w:lang w:val="uk-UA"/>
        </w:rPr>
        <w:t>.</w:t>
      </w:r>
      <w:r w:rsidR="001914E3" w:rsidRPr="001914E3">
        <w:rPr>
          <w:lang w:val="uk-UA"/>
        </w:rPr>
        <w:t xml:space="preserve"> </w:t>
      </w:r>
    </w:p>
    <w:p w:rsidR="001914E3" w:rsidRDefault="00F307E2" w:rsidP="001914E3">
      <w:pPr>
        <w:ind w:firstLine="709"/>
        <w:jc w:val="both"/>
        <w:rPr>
          <w:lang w:val="uk-UA"/>
        </w:rPr>
      </w:pPr>
      <w:r>
        <w:rPr>
          <w:lang w:val="uk-UA"/>
        </w:rPr>
        <w:t>С</w:t>
      </w:r>
      <w:r w:rsidR="001914E3">
        <w:rPr>
          <w:lang w:val="uk-UA"/>
        </w:rPr>
        <w:t xml:space="preserve">истема безперервної освіти у ЄС </w:t>
      </w:r>
      <w:r w:rsidR="001914E3" w:rsidRPr="00EB0D0B">
        <w:rPr>
          <w:lang w:val="uk-UA"/>
        </w:rPr>
        <w:t xml:space="preserve"> має різноманітні організаційні мод</w:t>
      </w:r>
      <w:r w:rsidR="001914E3">
        <w:rPr>
          <w:lang w:val="uk-UA"/>
        </w:rPr>
        <w:t>елі</w:t>
      </w:r>
      <w:r w:rsidR="001914E3" w:rsidRPr="00EB0D0B">
        <w:rPr>
          <w:lang w:val="uk-UA"/>
        </w:rPr>
        <w:t>, але, в цілому, сприяє підвищенню якості управління, інтелектуалізації праці державних службовців та посадових осіб органів місцевого самоврядування, формуванню і розвитку особистісного інтелекту, раціоналізації управлінської практики і засвоєнню нових управлінських технологій.</w:t>
      </w:r>
    </w:p>
    <w:p w:rsidR="001914E3" w:rsidRPr="001914E3" w:rsidRDefault="001914E3" w:rsidP="00573FF4">
      <w:pPr>
        <w:pStyle w:val="a3"/>
        <w:spacing w:before="0" w:beforeAutospacing="0" w:after="0" w:afterAutospacing="0"/>
        <w:ind w:firstLine="680"/>
        <w:jc w:val="both"/>
        <w:rPr>
          <w:lang w:val="uk-UA"/>
        </w:rPr>
      </w:pPr>
      <w:r w:rsidRPr="001914E3">
        <w:rPr>
          <w:color w:val="333333"/>
          <w:lang w:val="uk-UA"/>
        </w:rPr>
        <w:t xml:space="preserve">Наприклад, безперервна освіта </w:t>
      </w:r>
      <w:r w:rsidRPr="001914E3">
        <w:rPr>
          <w:lang w:val="uk-UA"/>
        </w:rPr>
        <w:t>державних службовців та посадових осіб органів місцевого самоврядування у Франції, регулюється загальним статутом державної служби (Закон від 13 липня, 1983 року) та передбачає, що 61% персоналу проходять навчання принаймні один раз на рік.</w:t>
      </w:r>
      <w:r>
        <w:rPr>
          <w:lang w:val="uk-UA"/>
        </w:rPr>
        <w:t xml:space="preserve"> </w:t>
      </w:r>
      <w:r w:rsidRPr="001914E3">
        <w:rPr>
          <w:rStyle w:val="google-src-text1"/>
          <w:lang w:val="uk-UA"/>
        </w:rPr>
        <w:t>Despite a rather important fragmentation of the civil service training system (more than 50 training schools, academic institutions, private sector…) it is functioning well.</w:t>
      </w:r>
      <w:r>
        <w:rPr>
          <w:rStyle w:val="google-src-text1"/>
          <w:vanish w:val="0"/>
          <w:lang w:val="uk-UA"/>
        </w:rPr>
        <w:t>С</w:t>
      </w:r>
      <w:r w:rsidRPr="001914E3">
        <w:rPr>
          <w:lang w:val="uk-UA"/>
        </w:rPr>
        <w:t>тратегія професійної підготовки державних службовців полягає у наступному:</w:t>
      </w:r>
      <w:r>
        <w:rPr>
          <w:lang w:val="uk-UA"/>
        </w:rPr>
        <w:t xml:space="preserve"> </w:t>
      </w:r>
      <w:r w:rsidRPr="001914E3">
        <w:rPr>
          <w:rStyle w:val="google-src-text1"/>
          <w:lang w:val="uk-UA"/>
        </w:rPr>
        <w:t xml:space="preserve"> good coverage of the French territory by the network of training institutions, allowing proximity with decision-makers as well as with trainees,</w:t>
      </w:r>
      <w:r w:rsidRPr="001914E3">
        <w:rPr>
          <w:lang w:val="uk-UA"/>
        </w:rPr>
        <w:t xml:space="preserve">повне охоплення усієї території Франції мережею навчальних закладів, </w:t>
      </w:r>
      <w:r w:rsidRPr="001914E3">
        <w:rPr>
          <w:rStyle w:val="google-src-text1"/>
          <w:lang w:val="uk-UA"/>
        </w:rPr>
        <w:t>consistency of training programs, mainly due to the fact that both the HR department managers and the administrative schools are used to work closely together,</w:t>
      </w:r>
      <w:r w:rsidRPr="001914E3">
        <w:rPr>
          <w:lang w:val="uk-UA"/>
        </w:rPr>
        <w:t xml:space="preserve">відповідність навчальних програм існуючим потребам у навчанні, що забезпечується завдяки тісній співпраці між менеджерами з персоналу та адміністративними школами, </w:t>
      </w:r>
      <w:r w:rsidRPr="001914E3">
        <w:rPr>
          <w:rStyle w:val="google-src-text1"/>
          <w:lang w:val="uk-UA"/>
        </w:rPr>
        <w:t>good methodology of training needs assessment, due to the implication of DGAFP in training matters since the late 80s, and to the proximity of administrative schools with the public administrations</w:t>
      </w:r>
      <w:r w:rsidRPr="001914E3">
        <w:rPr>
          <w:lang w:val="uk-UA"/>
        </w:rPr>
        <w:t>хороша методологія оцінки потреб в навчанні, оцінки якості навчальних курсів; відстежування подальшого професійного розвитку колишніх студентів</w:t>
      </w:r>
      <w:r w:rsidR="00F307E2">
        <w:rPr>
          <w:lang w:val="uk-UA"/>
        </w:rPr>
        <w:t xml:space="preserve"> тощо. </w:t>
      </w:r>
      <w:r w:rsidRPr="001914E3">
        <w:rPr>
          <w:rStyle w:val="google-src-text1"/>
          <w:vanish w:val="0"/>
          <w:lang w:val="uk-UA"/>
        </w:rPr>
        <w:t>Ф</w:t>
      </w:r>
      <w:r w:rsidRPr="001914E3">
        <w:rPr>
          <w:rStyle w:val="google-src-text1"/>
          <w:lang w:val="uk-UA"/>
        </w:rPr>
        <w:t>1 / The French administrative schools are closely related between them.З іншого боку, ф</w:t>
      </w:r>
      <w:r w:rsidRPr="001914E3">
        <w:rPr>
          <w:lang w:val="uk-UA"/>
        </w:rPr>
        <w:t>ранцузькі адміністративні школи, які, в основному виконують функції підготовки державних службовців, тісно пов'язані між собою неформальною мережею – RESP ("Мережа шкіл державної служби").</w:t>
      </w:r>
      <w:r>
        <w:rPr>
          <w:lang w:val="uk-UA"/>
        </w:rPr>
        <w:t xml:space="preserve"> </w:t>
      </w:r>
      <w:r w:rsidRPr="001914E3">
        <w:rPr>
          <w:lang w:val="uk-UA"/>
        </w:rPr>
        <w:t>Варто також відзначити, що існує Європейська мережа директорів інститутів та шкіл публічного адміністрування (DISPA), що підзвітна EPAN (Європейська мережа державних адміністрацій), Європейський інститут публічної адміністрації (</w:t>
      </w:r>
      <w:r w:rsidRPr="001914E3">
        <w:rPr>
          <w:lang w:val="en-US"/>
        </w:rPr>
        <w:t>EIPA</w:t>
      </w:r>
      <w:r w:rsidRPr="001914E3">
        <w:rPr>
          <w:lang w:val="uk-UA"/>
        </w:rPr>
        <w:t>), що відповідає за секретаріат мережі.</w:t>
      </w:r>
      <w:r w:rsidRPr="001914E3">
        <w:rPr>
          <w:rStyle w:val="google-src-text1"/>
          <w:lang w:val="uk-UA"/>
        </w:rPr>
        <w:t>Ukraine is associated member of the network.</w:t>
      </w:r>
      <w:r w:rsidRPr="001914E3">
        <w:rPr>
          <w:lang w:val="uk-UA"/>
        </w:rPr>
        <w:t xml:space="preserve"> </w:t>
      </w:r>
      <w:r w:rsidRPr="001914E3">
        <w:rPr>
          <w:rStyle w:val="hps"/>
          <w:rFonts w:eastAsiaTheme="majorEastAsia"/>
          <w:color w:val="333333"/>
          <w:lang w:val="uk-UA"/>
        </w:rPr>
        <w:t>У муніципальних</w:t>
      </w:r>
      <w:r w:rsidRPr="001914E3">
        <w:rPr>
          <w:color w:val="333333"/>
          <w:lang w:val="uk-UA"/>
        </w:rPr>
        <w:t xml:space="preserve"> </w:t>
      </w:r>
      <w:r w:rsidRPr="001914E3">
        <w:rPr>
          <w:rStyle w:val="hps"/>
          <w:rFonts w:eastAsiaTheme="majorEastAsia"/>
          <w:color w:val="333333"/>
          <w:lang w:val="uk-UA"/>
        </w:rPr>
        <w:t>працівників</w:t>
      </w:r>
      <w:r w:rsidRPr="001914E3">
        <w:rPr>
          <w:color w:val="333333"/>
          <w:lang w:val="uk-UA"/>
        </w:rPr>
        <w:t xml:space="preserve"> </w:t>
      </w:r>
      <w:r w:rsidRPr="001914E3">
        <w:rPr>
          <w:rStyle w:val="hps"/>
          <w:rFonts w:eastAsiaTheme="majorEastAsia"/>
          <w:color w:val="333333"/>
          <w:lang w:val="uk-UA"/>
        </w:rPr>
        <w:t>перепідготовка та підвищення кваліфікації</w:t>
      </w:r>
      <w:r w:rsidRPr="001914E3">
        <w:rPr>
          <w:color w:val="333333"/>
          <w:lang w:val="uk-UA"/>
        </w:rPr>
        <w:t xml:space="preserve"> </w:t>
      </w:r>
      <w:r w:rsidRPr="001914E3">
        <w:rPr>
          <w:rStyle w:val="hps"/>
          <w:rFonts w:eastAsiaTheme="majorEastAsia"/>
          <w:color w:val="333333"/>
          <w:lang w:val="uk-UA"/>
        </w:rPr>
        <w:t>здійснюється</w:t>
      </w:r>
      <w:r w:rsidRPr="001914E3">
        <w:rPr>
          <w:color w:val="333333"/>
          <w:lang w:val="uk-UA"/>
        </w:rPr>
        <w:t xml:space="preserve"> </w:t>
      </w:r>
      <w:r w:rsidRPr="001914E3">
        <w:rPr>
          <w:rStyle w:val="hps"/>
          <w:rFonts w:eastAsiaTheme="majorEastAsia"/>
          <w:color w:val="333333"/>
          <w:lang w:val="uk-UA"/>
        </w:rPr>
        <w:t>місцевими</w:t>
      </w:r>
      <w:r w:rsidRPr="001914E3">
        <w:rPr>
          <w:color w:val="333333"/>
          <w:lang w:val="uk-UA"/>
        </w:rPr>
        <w:t xml:space="preserve"> </w:t>
      </w:r>
      <w:r w:rsidRPr="001914E3">
        <w:rPr>
          <w:rStyle w:val="hps"/>
          <w:rFonts w:eastAsiaTheme="majorEastAsia"/>
          <w:color w:val="333333"/>
          <w:lang w:val="uk-UA"/>
        </w:rPr>
        <w:t>органами</w:t>
      </w:r>
      <w:r w:rsidRPr="001914E3">
        <w:rPr>
          <w:color w:val="333333"/>
          <w:lang w:val="uk-UA"/>
        </w:rPr>
        <w:t xml:space="preserve"> </w:t>
      </w:r>
      <w:r w:rsidRPr="001914E3">
        <w:rPr>
          <w:rStyle w:val="hps"/>
          <w:rFonts w:eastAsiaTheme="majorEastAsia"/>
          <w:color w:val="333333"/>
          <w:lang w:val="uk-UA"/>
        </w:rPr>
        <w:t>на</w:t>
      </w:r>
      <w:r w:rsidRPr="001914E3">
        <w:rPr>
          <w:color w:val="333333"/>
          <w:lang w:val="uk-UA"/>
        </w:rPr>
        <w:t xml:space="preserve"> </w:t>
      </w:r>
      <w:r w:rsidRPr="001914E3">
        <w:rPr>
          <w:rStyle w:val="hps"/>
          <w:rFonts w:eastAsiaTheme="majorEastAsia"/>
          <w:color w:val="333333"/>
          <w:lang w:val="uk-UA"/>
        </w:rPr>
        <w:t>свої кошти</w:t>
      </w:r>
      <w:r w:rsidRPr="001914E3">
        <w:rPr>
          <w:color w:val="333333"/>
          <w:lang w:val="uk-UA"/>
        </w:rPr>
        <w:t xml:space="preserve">. </w:t>
      </w:r>
      <w:r w:rsidRPr="001914E3">
        <w:rPr>
          <w:rStyle w:val="hps"/>
          <w:rFonts w:eastAsiaTheme="majorEastAsia"/>
          <w:color w:val="333333"/>
          <w:lang w:val="uk-UA"/>
        </w:rPr>
        <w:t>Згідно зі статистичними даними, щорічно</w:t>
      </w:r>
      <w:r w:rsidRPr="001914E3">
        <w:rPr>
          <w:color w:val="333333"/>
          <w:lang w:val="uk-UA"/>
        </w:rPr>
        <w:t xml:space="preserve"> </w:t>
      </w:r>
      <w:r w:rsidRPr="001914E3">
        <w:rPr>
          <w:rStyle w:val="hps"/>
          <w:rFonts w:eastAsiaTheme="majorEastAsia"/>
          <w:color w:val="333333"/>
          <w:lang w:val="uk-UA"/>
        </w:rPr>
        <w:t>перепідготовку</w:t>
      </w:r>
      <w:r w:rsidRPr="001914E3">
        <w:rPr>
          <w:color w:val="333333"/>
          <w:lang w:val="uk-UA"/>
        </w:rPr>
        <w:t xml:space="preserve"> </w:t>
      </w:r>
      <w:r w:rsidRPr="001914E3">
        <w:rPr>
          <w:rStyle w:val="hps"/>
          <w:rFonts w:eastAsiaTheme="majorEastAsia"/>
          <w:color w:val="333333"/>
          <w:lang w:val="uk-UA"/>
        </w:rPr>
        <w:t>проходить</w:t>
      </w:r>
      <w:r w:rsidRPr="001914E3">
        <w:rPr>
          <w:color w:val="333333"/>
          <w:lang w:val="uk-UA"/>
        </w:rPr>
        <w:t xml:space="preserve"> </w:t>
      </w:r>
      <w:r w:rsidRPr="001914E3">
        <w:rPr>
          <w:rStyle w:val="hps"/>
          <w:rFonts w:eastAsiaTheme="majorEastAsia"/>
          <w:color w:val="333333"/>
          <w:lang w:val="uk-UA"/>
        </w:rPr>
        <w:t>10%</w:t>
      </w:r>
      <w:r w:rsidRPr="001914E3">
        <w:rPr>
          <w:color w:val="333333"/>
          <w:lang w:val="uk-UA"/>
        </w:rPr>
        <w:t xml:space="preserve"> </w:t>
      </w:r>
      <w:r w:rsidRPr="001914E3">
        <w:rPr>
          <w:rStyle w:val="hps"/>
          <w:rFonts w:eastAsiaTheme="majorEastAsia"/>
          <w:color w:val="333333"/>
          <w:lang w:val="uk-UA"/>
        </w:rPr>
        <w:t>кадрів</w:t>
      </w:r>
      <w:r w:rsidRPr="001914E3">
        <w:rPr>
          <w:color w:val="333333"/>
          <w:lang w:val="uk-UA"/>
        </w:rPr>
        <w:t xml:space="preserve"> </w:t>
      </w:r>
      <w:r w:rsidRPr="001914E3">
        <w:rPr>
          <w:rStyle w:val="hps"/>
          <w:rFonts w:eastAsiaTheme="majorEastAsia"/>
          <w:color w:val="333333"/>
          <w:lang w:val="uk-UA"/>
        </w:rPr>
        <w:t xml:space="preserve">органів місцевого самоврядування </w:t>
      </w:r>
      <w:r w:rsidRPr="00573FF4">
        <w:rPr>
          <w:rStyle w:val="hps"/>
          <w:rFonts w:eastAsiaTheme="majorEastAsia"/>
          <w:color w:val="333333"/>
        </w:rPr>
        <w:t>[</w:t>
      </w:r>
      <w:r w:rsidR="00573FF4">
        <w:rPr>
          <w:rStyle w:val="hps"/>
          <w:rFonts w:eastAsiaTheme="majorEastAsia"/>
          <w:color w:val="333333"/>
          <w:lang w:val="uk-UA"/>
        </w:rPr>
        <w:t>2</w:t>
      </w:r>
      <w:r w:rsidRPr="00573FF4">
        <w:rPr>
          <w:rStyle w:val="hps"/>
          <w:rFonts w:eastAsiaTheme="majorEastAsia"/>
          <w:color w:val="333333"/>
        </w:rPr>
        <w:t>]</w:t>
      </w:r>
      <w:r w:rsidRPr="00573FF4">
        <w:rPr>
          <w:rStyle w:val="hps"/>
          <w:rFonts w:eastAsiaTheme="majorEastAsia"/>
          <w:color w:val="333333"/>
          <w:lang w:val="uk-UA"/>
        </w:rPr>
        <w:t>.</w:t>
      </w:r>
    </w:p>
    <w:p w:rsidR="001914E3" w:rsidRPr="001914E3" w:rsidRDefault="001914E3" w:rsidP="001914E3">
      <w:pPr>
        <w:ind w:firstLine="680"/>
        <w:jc w:val="both"/>
        <w:rPr>
          <w:rFonts w:eastAsia="Arial Unicode MS"/>
          <w:lang w:val="uk-UA"/>
        </w:rPr>
      </w:pPr>
      <w:r w:rsidRPr="001914E3">
        <w:rPr>
          <w:lang w:val="uk-UA"/>
        </w:rPr>
        <w:t>У Іспанії</w:t>
      </w:r>
      <w:r w:rsidRPr="001914E3">
        <w:rPr>
          <w:b/>
          <w:lang w:val="uk-UA"/>
        </w:rPr>
        <w:t xml:space="preserve"> </w:t>
      </w:r>
      <w:r w:rsidRPr="001914E3">
        <w:rPr>
          <w:lang w:val="uk-UA"/>
        </w:rPr>
        <w:t xml:space="preserve">законом про державну службу  передбачено </w:t>
      </w:r>
      <w:r w:rsidRPr="001914E3">
        <w:rPr>
          <w:rFonts w:eastAsia="Arial Unicode MS"/>
          <w:lang w:val="uk-UA"/>
        </w:rPr>
        <w:t>право на підготовку протягом всього терміну перебування на державній службі. Система підготовки державних службовців є децентралізованою за різними адміністративними рівнями. Тому кожна адміністрація (центральна, автономна чи місцева) зобов’язана мати відповідну систему підготовки для своїх службовців. Будь-яка адміністрація має у своєму розпорядженні ряд інструментів для визначення та забезпечення відповідної оцінки навчальних потреб та бюджету. Кожна адміністративна ланка має право здійснювати акредитацію, видавати дипломи та сертифікати про проходження дер</w:t>
      </w:r>
      <w:r w:rsidR="00584A34">
        <w:rPr>
          <w:rFonts w:eastAsia="Arial Unicode MS"/>
          <w:lang w:val="uk-UA"/>
        </w:rPr>
        <w:t>ж</w:t>
      </w:r>
      <w:r w:rsidRPr="001914E3">
        <w:rPr>
          <w:rFonts w:eastAsia="Arial Unicode MS"/>
          <w:lang w:val="uk-UA"/>
        </w:rPr>
        <w:t>службовцем навчання, семінарів та підготовчих курсів</w:t>
      </w:r>
      <w:r w:rsidR="00573FF4">
        <w:rPr>
          <w:rFonts w:eastAsia="Arial Unicode MS"/>
          <w:lang w:val="uk-UA"/>
        </w:rPr>
        <w:t xml:space="preserve"> </w:t>
      </w:r>
      <w:r w:rsidR="00573FF4">
        <w:rPr>
          <w:rFonts w:eastAsia="Arial Unicode MS"/>
          <w:lang w:val="en-US"/>
        </w:rPr>
        <w:t>[</w:t>
      </w:r>
      <w:r w:rsidR="00573FF4">
        <w:rPr>
          <w:rFonts w:eastAsia="Arial Unicode MS"/>
          <w:lang w:val="uk-UA"/>
        </w:rPr>
        <w:t>1</w:t>
      </w:r>
      <w:r w:rsidR="00573FF4">
        <w:rPr>
          <w:rFonts w:eastAsia="Arial Unicode MS"/>
          <w:lang w:val="en-US"/>
        </w:rPr>
        <w:t>]</w:t>
      </w:r>
      <w:r w:rsidRPr="001914E3">
        <w:rPr>
          <w:rFonts w:eastAsia="Arial Unicode MS"/>
          <w:lang w:val="uk-UA"/>
        </w:rPr>
        <w:t>.</w:t>
      </w:r>
    </w:p>
    <w:p w:rsidR="00584A34" w:rsidRDefault="00046D4F" w:rsidP="00573FF4">
      <w:pPr>
        <w:tabs>
          <w:tab w:val="left" w:pos="0"/>
          <w:tab w:val="left" w:pos="1080"/>
          <w:tab w:val="left" w:pos="1134"/>
        </w:tabs>
        <w:ind w:firstLine="680"/>
        <w:jc w:val="both"/>
        <w:rPr>
          <w:lang w:val="uk-UA"/>
        </w:rPr>
      </w:pPr>
      <w:r w:rsidRPr="00584A34">
        <w:rPr>
          <w:color w:val="000000" w:themeColor="text1"/>
          <w:lang w:val="uk-UA"/>
        </w:rPr>
        <w:t xml:space="preserve">Важливу роль в забезпеченні безперервної освіти державних службовців відіграють спеціальні </w:t>
      </w:r>
      <w:r w:rsidRPr="00584A34">
        <w:rPr>
          <w:lang w:val="uk-UA"/>
        </w:rPr>
        <w:t>проекти ЄС, до яких долучається і Україна.</w:t>
      </w:r>
      <w:r w:rsidR="00584A34">
        <w:rPr>
          <w:lang w:val="uk-UA"/>
        </w:rPr>
        <w:t xml:space="preserve"> </w:t>
      </w:r>
      <w:r w:rsidRPr="00584A34">
        <w:rPr>
          <w:lang w:val="uk-UA"/>
        </w:rPr>
        <w:t>Так, програма SIGMA</w:t>
      </w:r>
      <w:r w:rsidR="00573FF4">
        <w:rPr>
          <w:lang w:val="uk-UA"/>
        </w:rPr>
        <w:t xml:space="preserve"> </w:t>
      </w:r>
      <w:r w:rsidRPr="00584A34">
        <w:rPr>
          <w:lang w:val="uk-UA"/>
        </w:rPr>
        <w:t xml:space="preserve">надає експертні висновки та рекомендації Європейської Комісії країнам – бенефіціаріям щодо відповідності </w:t>
      </w:r>
      <w:r w:rsidRPr="00584A34">
        <w:rPr>
          <w:lang w:val="uk-UA"/>
        </w:rPr>
        <w:lastRenderedPageBreak/>
        <w:t xml:space="preserve">їх систем державного управління вимогам, необхідним для членства в Європейському Союзі. Одним з напрямів цих рекомендацій є система підготовки та підвищення кваліфікації державних службовців. </w:t>
      </w:r>
      <w:r w:rsidR="00584A34">
        <w:rPr>
          <w:lang w:val="uk-UA"/>
        </w:rPr>
        <w:t>Наприклад, п</w:t>
      </w:r>
      <w:r w:rsidRPr="00584A34">
        <w:rPr>
          <w:lang w:val="uk-UA"/>
        </w:rPr>
        <w:t>роведений у 2009 р. аналіз систем підготовки державних службовців у країнах Центральної та Східної Європи, які стали членами ЄС, дав можливість зробити наступні висновки:</w:t>
      </w:r>
      <w:r w:rsidR="00573FF4">
        <w:rPr>
          <w:lang w:val="uk-UA"/>
        </w:rPr>
        <w:t xml:space="preserve"> </w:t>
      </w:r>
      <w:r w:rsidR="00584A34" w:rsidRPr="00584A34">
        <w:rPr>
          <w:lang w:val="uk-UA"/>
        </w:rPr>
        <w:t>політика в галузі навчання передбачає більш загальний механізм розвитку компетентності держслужбовців і тим самим сприяє більш високої результативності державної служби</w:t>
      </w:r>
      <w:r w:rsidR="00573FF4">
        <w:rPr>
          <w:lang w:val="uk-UA"/>
        </w:rPr>
        <w:t xml:space="preserve">; </w:t>
      </w:r>
      <w:r w:rsidR="00584A34" w:rsidRPr="00584A34">
        <w:rPr>
          <w:lang w:val="uk-UA"/>
        </w:rPr>
        <w:t>завдяки фінансуванню, яке країни отримували з Європейського соціального фонду, була забезпечена стійкість проведення реформ держслужби в цій галузі;</w:t>
      </w:r>
      <w:r w:rsidR="00573FF4">
        <w:rPr>
          <w:lang w:val="uk-UA"/>
        </w:rPr>
        <w:t xml:space="preserve"> </w:t>
      </w:r>
      <w:r w:rsidR="00584A34" w:rsidRPr="00584A34">
        <w:rPr>
          <w:lang w:val="uk-UA"/>
        </w:rPr>
        <w:t>в той же час існують чималі відмінності в тому , що стосується ресурсів, що</w:t>
      </w:r>
      <w:r w:rsidR="00584A34">
        <w:rPr>
          <w:lang w:val="uk-UA"/>
        </w:rPr>
        <w:t xml:space="preserve"> </w:t>
      </w:r>
      <w:r w:rsidR="00584A34" w:rsidRPr="00584A34">
        <w:rPr>
          <w:lang w:val="uk-UA"/>
        </w:rPr>
        <w:t>дозволяють забезпечувати ефективне проведення політики в галузі навчання. Крім того, цілі і зміст програм навчання мають різні напрямки</w:t>
      </w:r>
      <w:r w:rsidR="00584A34" w:rsidRPr="00584A34">
        <w:t xml:space="preserve"> </w:t>
      </w:r>
      <w:r w:rsidR="00584A34" w:rsidRPr="00573FF4">
        <w:t>[</w:t>
      </w:r>
      <w:r w:rsidR="00573FF4" w:rsidRPr="00573FF4">
        <w:rPr>
          <w:lang w:val="uk-UA"/>
        </w:rPr>
        <w:t>3</w:t>
      </w:r>
      <w:r w:rsidR="00584A34" w:rsidRPr="00573FF4">
        <w:t>]</w:t>
      </w:r>
      <w:r w:rsidR="00584A34" w:rsidRPr="00573FF4">
        <w:rPr>
          <w:lang w:val="uk-UA"/>
        </w:rPr>
        <w:t>.</w:t>
      </w:r>
    </w:p>
    <w:p w:rsidR="00584A34" w:rsidRPr="001914E3" w:rsidRDefault="00584A34" w:rsidP="00573FF4">
      <w:pPr>
        <w:tabs>
          <w:tab w:val="left" w:pos="0"/>
          <w:tab w:val="left" w:pos="1080"/>
          <w:tab w:val="left" w:pos="1134"/>
        </w:tabs>
        <w:ind w:firstLine="709"/>
        <w:jc w:val="both"/>
        <w:rPr>
          <w:lang w:val="uk-UA"/>
        </w:rPr>
      </w:pPr>
      <w:r w:rsidRPr="00584A34">
        <w:rPr>
          <w:lang w:val="uk-UA"/>
        </w:rPr>
        <w:t>Серед основних відмінностей моделей безпере</w:t>
      </w:r>
      <w:r>
        <w:rPr>
          <w:lang w:val="uk-UA"/>
        </w:rPr>
        <w:t>р</w:t>
      </w:r>
      <w:r w:rsidRPr="00584A34">
        <w:rPr>
          <w:lang w:val="uk-UA"/>
        </w:rPr>
        <w:t>вної освіти</w:t>
      </w:r>
      <w:r>
        <w:rPr>
          <w:lang w:val="uk-UA"/>
        </w:rPr>
        <w:t xml:space="preserve"> в цих країнах можна виділити наступні:</w:t>
      </w:r>
      <w:r w:rsidR="00573FF4">
        <w:rPr>
          <w:lang w:val="uk-UA"/>
        </w:rPr>
        <w:t xml:space="preserve"> у</w:t>
      </w:r>
      <w:r>
        <w:rPr>
          <w:lang w:val="uk-UA"/>
        </w:rPr>
        <w:t xml:space="preserve"> Литві в ряді міністерств створені власні центри навчання, можуть замовлятися спеціальні курси </w:t>
      </w:r>
      <w:r w:rsidR="00880124">
        <w:rPr>
          <w:lang w:val="uk-UA"/>
        </w:rPr>
        <w:t>у інших навчальних закладах – державних і приватних;</w:t>
      </w:r>
      <w:r w:rsidR="00573FF4">
        <w:rPr>
          <w:lang w:val="uk-UA"/>
        </w:rPr>
        <w:t xml:space="preserve"> </w:t>
      </w:r>
      <w:r w:rsidR="00880124">
        <w:rPr>
          <w:lang w:val="uk-UA"/>
        </w:rPr>
        <w:t xml:space="preserve">в Угорщині підготовкою основних рекомендацій та координацією навчання опікується </w:t>
      </w:r>
      <w:r w:rsidR="00046D4F" w:rsidRPr="006B72DC">
        <w:rPr>
          <w:lang w:val="uk-UA"/>
        </w:rPr>
        <w:t xml:space="preserve">Директорат </w:t>
      </w:r>
      <w:r w:rsidR="00880124">
        <w:rPr>
          <w:lang w:val="uk-UA"/>
        </w:rPr>
        <w:t>навчання</w:t>
      </w:r>
      <w:r w:rsidR="00046D4F" w:rsidRPr="006B72DC">
        <w:rPr>
          <w:lang w:val="uk-UA"/>
        </w:rPr>
        <w:t xml:space="preserve"> в </w:t>
      </w:r>
      <w:r w:rsidR="00880124">
        <w:rPr>
          <w:lang w:val="uk-UA"/>
        </w:rPr>
        <w:t>установах</w:t>
      </w:r>
      <w:r w:rsidR="00573FF4">
        <w:rPr>
          <w:lang w:val="uk-UA"/>
        </w:rPr>
        <w:t xml:space="preserve"> </w:t>
      </w:r>
      <w:r w:rsidR="00880124">
        <w:rPr>
          <w:lang w:val="uk-UA"/>
        </w:rPr>
        <w:t xml:space="preserve">держуправління, а розробка навчальних планів здійснюється </w:t>
      </w:r>
      <w:r w:rsidR="00046D4F" w:rsidRPr="006B72DC">
        <w:rPr>
          <w:lang w:val="uk-UA"/>
        </w:rPr>
        <w:t>Кадров</w:t>
      </w:r>
      <w:r w:rsidR="00880124">
        <w:rPr>
          <w:lang w:val="uk-UA"/>
        </w:rPr>
        <w:t xml:space="preserve">им </w:t>
      </w:r>
      <w:r w:rsidR="00046D4F" w:rsidRPr="006B72DC">
        <w:rPr>
          <w:lang w:val="uk-UA"/>
        </w:rPr>
        <w:t>центр</w:t>
      </w:r>
      <w:r w:rsidR="00880124">
        <w:rPr>
          <w:lang w:val="uk-UA"/>
        </w:rPr>
        <w:t>ом, який діє при уряді;</w:t>
      </w:r>
      <w:r w:rsidR="00573FF4">
        <w:rPr>
          <w:lang w:val="uk-UA"/>
        </w:rPr>
        <w:t xml:space="preserve"> </w:t>
      </w:r>
      <w:r w:rsidR="00046D4F" w:rsidRPr="006B72DC">
        <w:rPr>
          <w:lang w:val="uk-UA"/>
        </w:rPr>
        <w:t>Слова</w:t>
      </w:r>
      <w:r w:rsidR="00880124">
        <w:rPr>
          <w:lang w:val="uk-UA"/>
        </w:rPr>
        <w:t>ччина</w:t>
      </w:r>
      <w:r w:rsidR="00046D4F" w:rsidRPr="006B72DC">
        <w:rPr>
          <w:lang w:val="uk-UA"/>
        </w:rPr>
        <w:t xml:space="preserve"> </w:t>
      </w:r>
      <w:r w:rsidR="00880124">
        <w:rPr>
          <w:lang w:val="uk-UA"/>
        </w:rPr>
        <w:t>та</w:t>
      </w:r>
      <w:r w:rsidR="00046D4F" w:rsidRPr="006B72DC">
        <w:rPr>
          <w:lang w:val="uk-UA"/>
        </w:rPr>
        <w:t xml:space="preserve"> Че</w:t>
      </w:r>
      <w:r w:rsidR="00880124">
        <w:rPr>
          <w:lang w:val="uk-UA"/>
        </w:rPr>
        <w:t xml:space="preserve">хія відрізняються від інших країн тим, що не мають центральних інститутів, які відповідають за розробку і проведення політики в галузі освіти держслужбовців; </w:t>
      </w:r>
      <w:r w:rsidR="00880124">
        <w:rPr>
          <w:color w:val="333333"/>
          <w:lang w:val="uk-UA"/>
        </w:rPr>
        <w:t>у</w:t>
      </w:r>
      <w:r w:rsidRPr="00584A34">
        <w:rPr>
          <w:color w:val="333333"/>
          <w:lang w:val="uk-UA"/>
        </w:rPr>
        <w:t xml:space="preserve"> Польщі</w:t>
      </w:r>
      <w:r w:rsidRPr="001914E3">
        <w:rPr>
          <w:b/>
          <w:color w:val="333333"/>
          <w:lang w:val="uk-UA"/>
        </w:rPr>
        <w:t xml:space="preserve"> </w:t>
      </w:r>
      <w:r w:rsidRPr="00584A34">
        <w:rPr>
          <w:color w:val="333333"/>
          <w:lang w:val="uk-UA"/>
        </w:rPr>
        <w:t>і</w:t>
      </w:r>
      <w:r w:rsidRPr="001914E3">
        <w:rPr>
          <w:lang w:val="uk-UA"/>
        </w:rPr>
        <w:t xml:space="preserve">снує три основі види вищих навчальних закладів, які готують фахівців з державного управління: університети, вищі навчальні заклади без статусу університету і приватні ВНЗ із належним професорсько-викладацьким складом. </w:t>
      </w:r>
      <w:r w:rsidRPr="001914E3">
        <w:rPr>
          <w:rStyle w:val="google-src-text1"/>
          <w:lang w:val="uk-UA"/>
        </w:rPr>
        <w:t>The costs of trainings in the Civil Service shall be covered from following resources:</w:t>
      </w:r>
      <w:r w:rsidRPr="001914E3">
        <w:rPr>
          <w:lang w:val="uk-UA"/>
        </w:rPr>
        <w:t>Витрати на навчання покри</w:t>
      </w:r>
      <w:r w:rsidR="00880124">
        <w:rPr>
          <w:lang w:val="uk-UA"/>
        </w:rPr>
        <w:t>ваються</w:t>
      </w:r>
      <w:r w:rsidRPr="001914E3">
        <w:rPr>
          <w:lang w:val="uk-UA"/>
        </w:rPr>
        <w:t xml:space="preserve"> з таких джерел: </w:t>
      </w:r>
      <w:r w:rsidRPr="001914E3">
        <w:rPr>
          <w:rStyle w:val="google-src-text1"/>
          <w:lang w:val="uk-UA"/>
        </w:rPr>
        <w:t>allocated in the budgets of individual offices to finance general trainings and trainings under Civil Servants' individual professional development programmes as well as specialist trainings;</w:t>
      </w:r>
      <w:r w:rsidRPr="001914E3">
        <w:rPr>
          <w:lang w:val="uk-UA"/>
        </w:rPr>
        <w:t xml:space="preserve">бюджети окремих офісів для фінансування загальних тренінгів та тренінгів за програмами індивідуального професійного розвитку державних службовців, а також спеціалізованих тренінгів; </w:t>
      </w:r>
      <w:r w:rsidRPr="001914E3">
        <w:rPr>
          <w:rStyle w:val="google-src-text1"/>
          <w:lang w:val="uk-UA"/>
        </w:rPr>
        <w:t>budgetary reserve allocated to trainings of the Civil Service Corps members for the financing of central trainings</w:t>
      </w:r>
      <w:r w:rsidRPr="001914E3">
        <w:rPr>
          <w:lang w:val="uk-UA"/>
        </w:rPr>
        <w:t xml:space="preserve"> бюджетний резерв виділяється на тренінги для членів Корпусу державної служби  (з фінансування центральних тренінгів). </w:t>
      </w:r>
      <w:r w:rsidRPr="001914E3">
        <w:rPr>
          <w:rStyle w:val="google-src-text1"/>
          <w:lang w:val="uk-UA"/>
        </w:rPr>
        <w:t>Besides funds from the state budget, in recent years, the significant input comes from EU programs.</w:t>
      </w:r>
      <w:r w:rsidRPr="001914E3">
        <w:rPr>
          <w:lang w:val="uk-UA"/>
        </w:rPr>
        <w:t xml:space="preserve">Крім того, що на навчання виділяються кошти з державного бюджету, в останні роки значний внесок надходить з програм ЄС. </w:t>
      </w:r>
      <w:r w:rsidRPr="001914E3">
        <w:rPr>
          <w:rStyle w:val="google-src-text1"/>
          <w:lang w:val="uk-UA"/>
        </w:rPr>
        <w:t>For example, funds for trainings financed by European Union in perspective 2007-2015 exceeded 80 million zlotys (around10 million zlotys per year).</w:t>
      </w:r>
      <w:r w:rsidRPr="001914E3">
        <w:rPr>
          <w:lang w:val="uk-UA"/>
        </w:rPr>
        <w:t>Наприклад, загальна сума на навчання, яке фінансується Європейським Союзом на 2007-2015  рр. перевищила 80 мільйонів злотих (близько 10 млн. злотих на рік)</w:t>
      </w:r>
      <w:r w:rsidR="00573FF4">
        <w:rPr>
          <w:lang w:val="uk-UA"/>
        </w:rPr>
        <w:t xml:space="preserve"> [</w:t>
      </w:r>
      <w:r w:rsidR="00573FF4" w:rsidRPr="00573FF4">
        <w:t>1</w:t>
      </w:r>
      <w:r w:rsidR="00573FF4">
        <w:rPr>
          <w:lang w:val="uk-UA"/>
        </w:rPr>
        <w:t>]</w:t>
      </w:r>
      <w:r w:rsidRPr="001914E3">
        <w:rPr>
          <w:lang w:val="uk-UA"/>
        </w:rPr>
        <w:t xml:space="preserve">. </w:t>
      </w:r>
    </w:p>
    <w:p w:rsidR="00661A79" w:rsidRPr="00661A79" w:rsidRDefault="00573FF4" w:rsidP="00661A79">
      <w:pPr>
        <w:ind w:firstLine="680"/>
        <w:jc w:val="both"/>
        <w:rPr>
          <w:lang w:val="uk-UA"/>
        </w:rPr>
      </w:pPr>
      <w:r>
        <w:rPr>
          <w:lang w:val="uk-UA"/>
        </w:rPr>
        <w:t>Таким чино</w:t>
      </w:r>
      <w:r w:rsidR="002749F6">
        <w:rPr>
          <w:lang w:val="uk-UA"/>
        </w:rPr>
        <w:t xml:space="preserve"> європейський</w:t>
      </w:r>
      <w:r w:rsidR="00EB0D0B" w:rsidRPr="00EB0D0B">
        <w:rPr>
          <w:lang w:val="uk-UA"/>
        </w:rPr>
        <w:t xml:space="preserve"> досвід безперервної освіти в системі державного управління та місцевого самоврядування дає </w:t>
      </w:r>
      <w:r w:rsidR="00EB0D0B" w:rsidRPr="00661A79">
        <w:rPr>
          <w:lang w:val="uk-UA"/>
        </w:rPr>
        <w:t>можливість визнати, що професійний супровід управлінського персоналу здійсню</w:t>
      </w:r>
      <w:r w:rsidR="00661A79">
        <w:rPr>
          <w:lang w:val="uk-UA"/>
        </w:rPr>
        <w:t>ється</w:t>
      </w:r>
      <w:r w:rsidR="00EB0D0B" w:rsidRPr="00661A79">
        <w:rPr>
          <w:lang w:val="uk-UA"/>
        </w:rPr>
        <w:t xml:space="preserve"> на основі відповідної нормативно-правової бази, з необхідним фінансуванням, визначенням очікуваних результатів, які впливають на кар’єру посадових осіб.</w:t>
      </w:r>
      <w:r w:rsidR="002749F6" w:rsidRPr="00661A79">
        <w:rPr>
          <w:lang w:val="uk-UA"/>
        </w:rPr>
        <w:t xml:space="preserve"> Залучення України до європейських програм SIGMA, </w:t>
      </w:r>
      <w:r w:rsidR="00661A79" w:rsidRPr="00661A79">
        <w:rPr>
          <w:lang w:val="uk-UA"/>
        </w:rPr>
        <w:t>Twinning</w:t>
      </w:r>
      <w:r w:rsidR="00661A79">
        <w:rPr>
          <w:lang w:val="uk-UA"/>
        </w:rPr>
        <w:t>, опанування досвіду безперервної освіти державних службовців у країнах ЄС</w:t>
      </w:r>
      <w:r w:rsidR="00661A79" w:rsidRPr="00661A79">
        <w:rPr>
          <w:lang w:val="uk-UA"/>
        </w:rPr>
        <w:t xml:space="preserve"> </w:t>
      </w:r>
      <w:r w:rsidR="00661A79">
        <w:rPr>
          <w:lang w:val="uk-UA"/>
        </w:rPr>
        <w:t>дасть можливість з</w:t>
      </w:r>
      <w:r w:rsidR="00661A79" w:rsidRPr="00661A79">
        <w:rPr>
          <w:lang w:val="uk-UA"/>
        </w:rPr>
        <w:t>абезпеч</w:t>
      </w:r>
      <w:r w:rsidR="00661A79">
        <w:rPr>
          <w:lang w:val="uk-UA"/>
        </w:rPr>
        <w:t>ити</w:t>
      </w:r>
      <w:r w:rsidR="00661A79" w:rsidRPr="00661A79">
        <w:rPr>
          <w:lang w:val="uk-UA"/>
        </w:rPr>
        <w:t xml:space="preserve"> інституційні реформи у державному управлінні відповідно до кращих європейських практик.</w:t>
      </w:r>
    </w:p>
    <w:p w:rsidR="00A452FB" w:rsidRDefault="00A452FB" w:rsidP="00A452FB">
      <w:pPr>
        <w:tabs>
          <w:tab w:val="left" w:pos="0"/>
          <w:tab w:val="left" w:pos="1080"/>
          <w:tab w:val="left" w:pos="1134"/>
        </w:tabs>
        <w:jc w:val="center"/>
        <w:rPr>
          <w:lang w:val="uk-UA"/>
        </w:rPr>
      </w:pPr>
      <w:r>
        <w:rPr>
          <w:lang w:val="uk-UA"/>
        </w:rPr>
        <w:t>Література</w:t>
      </w:r>
    </w:p>
    <w:p w:rsidR="00F307E2" w:rsidRDefault="00F307E2" w:rsidP="00F307E2">
      <w:pPr>
        <w:pStyle w:val="aa"/>
        <w:numPr>
          <w:ilvl w:val="0"/>
          <w:numId w:val="19"/>
        </w:numPr>
        <w:tabs>
          <w:tab w:val="num" w:pos="1080"/>
        </w:tabs>
        <w:ind w:left="0" w:firstLine="709"/>
        <w:jc w:val="both"/>
        <w:rPr>
          <w:lang w:val="uk-UA"/>
        </w:rPr>
      </w:pPr>
      <w:r w:rsidRPr="00F307E2">
        <w:rPr>
          <w:bCs/>
          <w:lang w:val="uk-UA"/>
        </w:rPr>
        <w:t xml:space="preserve">Концептуальні засади професійного супроводу державних службовців та посадових осіб органів місцевого самоврядування в системі безперервної освіти: монографія / О.С. Поважний, Н.Г. Діденко, В.І. Токарева. – </w:t>
      </w:r>
      <w:r w:rsidRPr="00F307E2">
        <w:rPr>
          <w:lang w:val="uk-UA"/>
        </w:rPr>
        <w:t>Донецьк: «ВІК», 2012. –  308</w:t>
      </w:r>
      <w:r w:rsidR="002749F6">
        <w:rPr>
          <w:lang w:val="uk-UA"/>
        </w:rPr>
        <w:t xml:space="preserve"> </w:t>
      </w:r>
      <w:r w:rsidRPr="00F307E2">
        <w:rPr>
          <w:lang w:val="uk-UA"/>
        </w:rPr>
        <w:t>с.</w:t>
      </w:r>
    </w:p>
    <w:p w:rsidR="00F307E2" w:rsidRDefault="00A452FB" w:rsidP="00F307E2">
      <w:pPr>
        <w:pStyle w:val="aa"/>
        <w:numPr>
          <w:ilvl w:val="0"/>
          <w:numId w:val="19"/>
        </w:numPr>
        <w:tabs>
          <w:tab w:val="left" w:pos="0"/>
          <w:tab w:val="num" w:pos="1080"/>
          <w:tab w:val="left" w:pos="1134"/>
        </w:tabs>
        <w:ind w:left="0" w:firstLine="709"/>
        <w:jc w:val="both"/>
        <w:rPr>
          <w:lang w:val="uk-UA"/>
        </w:rPr>
      </w:pPr>
      <w:r w:rsidRPr="00F307E2">
        <w:rPr>
          <w:rFonts w:eastAsia="Calibri"/>
          <w:lang w:val="uk-UA"/>
        </w:rPr>
        <w:t>Система підготовки державних службовців у Франції</w:t>
      </w:r>
      <w:r w:rsidRPr="00F307E2">
        <w:rPr>
          <w:rFonts w:eastAsia="Calibri"/>
          <w:b/>
          <w:lang w:val="uk-UA"/>
        </w:rPr>
        <w:t xml:space="preserve"> / </w:t>
      </w:r>
      <w:r w:rsidRPr="00F307E2">
        <w:rPr>
          <w:rFonts w:eastAsia="Calibri"/>
          <w:lang w:val="uk-UA"/>
        </w:rPr>
        <w:t xml:space="preserve">Раймон Піганьоль, експерт проекту </w:t>
      </w:r>
      <w:r w:rsidRPr="00F307E2">
        <w:rPr>
          <w:rFonts w:eastAsia="Calibri"/>
        </w:rPr>
        <w:t>Twinning</w:t>
      </w:r>
      <w:r w:rsidRPr="00F307E2">
        <w:rPr>
          <w:rFonts w:eastAsia="Calibri"/>
          <w:lang w:val="uk-UA"/>
        </w:rPr>
        <w:t xml:space="preserve"> "Розвиток і удосконалення системи підготовки державних службовців в Україні", голова Департаменту з європейських і міжнародних справ, Головне управління адміністрації і державної служби, Міністерство державної служби Франції Звіт підготовлений в рамках фінансованого ЄС проекту </w:t>
      </w:r>
      <w:r w:rsidRPr="00F307E2">
        <w:rPr>
          <w:rFonts w:eastAsia="Calibri"/>
        </w:rPr>
        <w:t>Twinning</w:t>
      </w:r>
      <w:r w:rsidRPr="00F307E2">
        <w:rPr>
          <w:rFonts w:eastAsia="Calibri"/>
          <w:lang w:val="uk-UA"/>
        </w:rPr>
        <w:t xml:space="preserve"> "Розвиток і удосконалення системи підготовки державних службовців в Україні".</w:t>
      </w:r>
      <w:r w:rsidRPr="00F307E2">
        <w:rPr>
          <w:lang w:val="uk-UA"/>
        </w:rPr>
        <w:t xml:space="preserve"> К., 2010 – 18 с.</w:t>
      </w:r>
    </w:p>
    <w:p w:rsidR="00A452FB" w:rsidRPr="00F307E2" w:rsidRDefault="00A452FB" w:rsidP="00F307E2">
      <w:pPr>
        <w:pStyle w:val="aa"/>
        <w:numPr>
          <w:ilvl w:val="0"/>
          <w:numId w:val="19"/>
        </w:numPr>
        <w:tabs>
          <w:tab w:val="left" w:pos="0"/>
          <w:tab w:val="num" w:pos="1080"/>
          <w:tab w:val="left" w:pos="1134"/>
        </w:tabs>
        <w:ind w:left="0" w:firstLine="709"/>
        <w:jc w:val="both"/>
        <w:rPr>
          <w:lang w:val="uk-UA"/>
        </w:rPr>
      </w:pPr>
      <w:r w:rsidRPr="00F307E2">
        <w:rPr>
          <w:lang w:val="uk-UA"/>
        </w:rPr>
        <w:t xml:space="preserve">Устойчивость реформ государственной службы в Центральной и Восточной Европе спустя </w:t>
      </w:r>
      <w:r w:rsidR="00F307E2" w:rsidRPr="00F307E2">
        <w:rPr>
          <w:lang w:val="uk-UA"/>
        </w:rPr>
        <w:t xml:space="preserve">пять лет после вступления в ЕС. </w:t>
      </w:r>
      <w:r w:rsidRPr="00F307E2">
        <w:rPr>
          <w:lang w:val="uk-UA"/>
        </w:rPr>
        <w:t>Д</w:t>
      </w:r>
      <w:r w:rsidR="00F307E2" w:rsidRPr="00F307E2">
        <w:rPr>
          <w:lang w:val="uk-UA"/>
        </w:rPr>
        <w:t>оклад</w:t>
      </w:r>
      <w:r w:rsidRPr="00F307E2">
        <w:rPr>
          <w:lang w:val="uk-UA"/>
        </w:rPr>
        <w:t xml:space="preserve"> «SIGMA» № 44</w:t>
      </w:r>
      <w:r w:rsidR="00F307E2" w:rsidRPr="00F307E2">
        <w:rPr>
          <w:lang w:val="uk-UA"/>
        </w:rPr>
        <w:t>. П</w:t>
      </w:r>
      <w:r w:rsidRPr="00F307E2">
        <w:rPr>
          <w:lang w:val="uk-UA"/>
        </w:rPr>
        <w:t>одготовлено для «Sigma» д-ром Яном-Хинриком Мейер-Залингом, Университет Ноттингема</w:t>
      </w:r>
      <w:r w:rsidR="00F307E2" w:rsidRPr="00F307E2">
        <w:rPr>
          <w:lang w:val="uk-UA"/>
        </w:rPr>
        <w:t xml:space="preserve">, </w:t>
      </w:r>
      <w:r w:rsidRPr="00F307E2">
        <w:rPr>
          <w:lang w:val="uk-UA"/>
        </w:rPr>
        <w:t>апрель 2009 г.</w:t>
      </w:r>
      <w:r w:rsidR="00F307E2" w:rsidRPr="00F307E2">
        <w:rPr>
          <w:lang w:val="uk-UA"/>
        </w:rPr>
        <w:t>-С.57-59</w:t>
      </w:r>
      <w:r w:rsidRPr="00F307E2">
        <w:rPr>
          <w:lang w:val="uk-UA"/>
        </w:rPr>
        <w:t xml:space="preserve"> </w:t>
      </w:r>
      <w:r w:rsidRPr="00F307E2">
        <w:rPr>
          <w:lang w:val="uk-UA"/>
        </w:rPr>
        <w:cr/>
      </w:r>
    </w:p>
    <w:sectPr w:rsidR="00A452FB" w:rsidRPr="00F307E2" w:rsidSect="00F307E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D2F"/>
    <w:multiLevelType w:val="multilevel"/>
    <w:tmpl w:val="97449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C2FAE"/>
    <w:multiLevelType w:val="hybridMultilevel"/>
    <w:tmpl w:val="1A2A33D6"/>
    <w:lvl w:ilvl="0" w:tplc="E4B243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B5060C"/>
    <w:multiLevelType w:val="multilevel"/>
    <w:tmpl w:val="5562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04393D"/>
    <w:multiLevelType w:val="multilevel"/>
    <w:tmpl w:val="16D40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6D53B8"/>
    <w:multiLevelType w:val="multilevel"/>
    <w:tmpl w:val="DFB60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351CCD"/>
    <w:multiLevelType w:val="hybridMultilevel"/>
    <w:tmpl w:val="C9FC73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186B77"/>
    <w:multiLevelType w:val="hybridMultilevel"/>
    <w:tmpl w:val="EF8EE346"/>
    <w:lvl w:ilvl="0" w:tplc="78908B7E">
      <w:start w:val="1"/>
      <w:numFmt w:val="decimal"/>
      <w:lvlText w:val="%1)"/>
      <w:lvlJc w:val="left"/>
      <w:pPr>
        <w:ind w:left="171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E6B80"/>
    <w:multiLevelType w:val="hybridMultilevel"/>
    <w:tmpl w:val="C8B0B9D2"/>
    <w:lvl w:ilvl="0" w:tplc="A51CB32A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D91AEA"/>
    <w:multiLevelType w:val="hybridMultilevel"/>
    <w:tmpl w:val="5CD61AFA"/>
    <w:lvl w:ilvl="0" w:tplc="C5EA3570">
      <w:start w:val="4"/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2CEE5501"/>
    <w:multiLevelType w:val="multilevel"/>
    <w:tmpl w:val="7822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AF44A8"/>
    <w:multiLevelType w:val="multilevel"/>
    <w:tmpl w:val="34029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8F2309"/>
    <w:multiLevelType w:val="hybridMultilevel"/>
    <w:tmpl w:val="DB2E0D00"/>
    <w:lvl w:ilvl="0" w:tplc="78908B7E">
      <w:start w:val="1"/>
      <w:numFmt w:val="decimal"/>
      <w:lvlText w:val="%1)"/>
      <w:lvlJc w:val="left"/>
      <w:pPr>
        <w:ind w:left="171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>
    <w:nsid w:val="40460851"/>
    <w:multiLevelType w:val="multilevel"/>
    <w:tmpl w:val="62D63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733C3B"/>
    <w:multiLevelType w:val="multilevel"/>
    <w:tmpl w:val="A278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232042"/>
    <w:multiLevelType w:val="hybridMultilevel"/>
    <w:tmpl w:val="5D82A1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27A88"/>
    <w:multiLevelType w:val="multilevel"/>
    <w:tmpl w:val="2C96B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0D0311"/>
    <w:multiLevelType w:val="multilevel"/>
    <w:tmpl w:val="B2D6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4C1910"/>
    <w:multiLevelType w:val="multilevel"/>
    <w:tmpl w:val="73A4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FD4B1F"/>
    <w:multiLevelType w:val="hybridMultilevel"/>
    <w:tmpl w:val="E2D484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12"/>
  </w:num>
  <w:num w:numId="5">
    <w:abstractNumId w:val="15"/>
  </w:num>
  <w:num w:numId="6">
    <w:abstractNumId w:val="9"/>
  </w:num>
  <w:num w:numId="7">
    <w:abstractNumId w:val="0"/>
  </w:num>
  <w:num w:numId="8">
    <w:abstractNumId w:val="13"/>
  </w:num>
  <w:num w:numId="9">
    <w:abstractNumId w:val="3"/>
  </w:num>
  <w:num w:numId="10">
    <w:abstractNumId w:val="10"/>
  </w:num>
  <w:num w:numId="11">
    <w:abstractNumId w:val="17"/>
  </w:num>
  <w:num w:numId="12">
    <w:abstractNumId w:val="4"/>
  </w:num>
  <w:num w:numId="13">
    <w:abstractNumId w:val="2"/>
  </w:num>
  <w:num w:numId="14">
    <w:abstractNumId w:val="7"/>
  </w:num>
  <w:num w:numId="15">
    <w:abstractNumId w:val="18"/>
  </w:num>
  <w:num w:numId="16">
    <w:abstractNumId w:val="11"/>
  </w:num>
  <w:num w:numId="17">
    <w:abstractNumId w:val="14"/>
  </w:num>
  <w:num w:numId="18">
    <w:abstractNumId w:val="6"/>
  </w:num>
  <w:num w:numId="19">
    <w:abstractNumId w:val="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defaultTabStop w:val="708"/>
  <w:characterSpacingControl w:val="doNotCompress"/>
  <w:compat/>
  <w:rsids>
    <w:rsidRoot w:val="00EE7511"/>
    <w:rsid w:val="00046D4F"/>
    <w:rsid w:val="00142003"/>
    <w:rsid w:val="001914E3"/>
    <w:rsid w:val="002749F6"/>
    <w:rsid w:val="004B0402"/>
    <w:rsid w:val="00573FF4"/>
    <w:rsid w:val="00584A34"/>
    <w:rsid w:val="00661A79"/>
    <w:rsid w:val="006B72DC"/>
    <w:rsid w:val="008508A8"/>
    <w:rsid w:val="00880124"/>
    <w:rsid w:val="00A452FB"/>
    <w:rsid w:val="00D27643"/>
    <w:rsid w:val="00EB0D0B"/>
    <w:rsid w:val="00EE7511"/>
    <w:rsid w:val="00F30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5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EE75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E75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E75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751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rsid w:val="00EE751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EE7511"/>
    <w:rPr>
      <w:color w:val="0000FF"/>
      <w:u w:val="single"/>
    </w:rPr>
  </w:style>
  <w:style w:type="character" w:customStyle="1" w:styleId="hps">
    <w:name w:val="hps"/>
    <w:basedOn w:val="a0"/>
    <w:rsid w:val="00EE7511"/>
  </w:style>
  <w:style w:type="paragraph" w:styleId="a5">
    <w:name w:val="Body Text"/>
    <w:basedOn w:val="a"/>
    <w:link w:val="a6"/>
    <w:uiPriority w:val="99"/>
    <w:semiHidden/>
    <w:unhideWhenUsed/>
    <w:rsid w:val="00EE751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E75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atn">
    <w:name w:val="hps atn"/>
    <w:basedOn w:val="a0"/>
    <w:rsid w:val="00EE7511"/>
  </w:style>
  <w:style w:type="character" w:customStyle="1" w:styleId="atn">
    <w:name w:val="atn"/>
    <w:basedOn w:val="a0"/>
    <w:rsid w:val="00EE7511"/>
  </w:style>
  <w:style w:type="paragraph" w:customStyle="1" w:styleId="a7">
    <w:name w:val="заголовок змист"/>
    <w:basedOn w:val="1"/>
    <w:link w:val="a8"/>
    <w:qFormat/>
    <w:rsid w:val="00EE7511"/>
    <w:pPr>
      <w:keepLines w:val="0"/>
      <w:spacing w:before="0" w:line="360" w:lineRule="auto"/>
      <w:ind w:firstLine="709"/>
      <w:jc w:val="center"/>
    </w:pPr>
    <w:rPr>
      <w:rFonts w:ascii="Cambria" w:eastAsia="Times New Roman" w:hAnsi="Cambria" w:cs="Times New Roman"/>
      <w:color w:val="auto"/>
      <w:kern w:val="32"/>
      <w:lang w:val="uk-UA" w:eastAsia="ko-KR"/>
    </w:rPr>
  </w:style>
  <w:style w:type="character" w:customStyle="1" w:styleId="a8">
    <w:name w:val="заголовок змист Знак"/>
    <w:link w:val="a7"/>
    <w:rsid w:val="00EE7511"/>
    <w:rPr>
      <w:rFonts w:ascii="Cambria" w:eastAsia="Times New Roman" w:hAnsi="Cambria" w:cs="Times New Roman"/>
      <w:b/>
      <w:bCs/>
      <w:kern w:val="32"/>
      <w:sz w:val="28"/>
      <w:szCs w:val="28"/>
      <w:lang w:val="uk-UA" w:eastAsia="ko-KR"/>
    </w:rPr>
  </w:style>
  <w:style w:type="paragraph" w:customStyle="1" w:styleId="ConsPlusNormal">
    <w:name w:val="ConsPlusNormal"/>
    <w:rsid w:val="00EE7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qFormat/>
    <w:rsid w:val="00EE7511"/>
    <w:rPr>
      <w:b/>
      <w:bCs/>
    </w:rPr>
  </w:style>
  <w:style w:type="paragraph" w:styleId="aa">
    <w:name w:val="List Paragraph"/>
    <w:basedOn w:val="a"/>
    <w:qFormat/>
    <w:rsid w:val="00EE7511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EE75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E75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EE7511"/>
    <w:pPr>
      <w:suppressAutoHyphens/>
      <w:spacing w:line="220" w:lineRule="atLeast"/>
    </w:pPr>
    <w:rPr>
      <w:rFonts w:ascii="Verdana" w:hAnsi="Verdana" w:cs="Courier New"/>
      <w:sz w:val="18"/>
      <w:szCs w:val="20"/>
      <w:lang w:val="en-GB" w:eastAsia="ar-SA"/>
    </w:rPr>
  </w:style>
  <w:style w:type="character" w:customStyle="1" w:styleId="HTML0">
    <w:name w:val="Стандартный HTML Знак"/>
    <w:basedOn w:val="a0"/>
    <w:link w:val="HTML"/>
    <w:rsid w:val="00EE7511"/>
    <w:rPr>
      <w:rFonts w:ascii="Verdana" w:eastAsia="Times New Roman" w:hAnsi="Verdana" w:cs="Courier New"/>
      <w:sz w:val="18"/>
      <w:szCs w:val="20"/>
      <w:lang w:val="en-GB" w:eastAsia="ar-SA"/>
    </w:rPr>
  </w:style>
  <w:style w:type="paragraph" w:customStyle="1" w:styleId="ar10text">
    <w:name w:val="ar10text"/>
    <w:basedOn w:val="a"/>
    <w:rsid w:val="00EE7511"/>
    <w:pPr>
      <w:spacing w:before="100" w:beforeAutospacing="1" w:after="100" w:afterAutospacing="1"/>
    </w:pPr>
    <w:rPr>
      <w:lang w:val="ca-ES" w:eastAsia="ca-ES"/>
    </w:rPr>
  </w:style>
  <w:style w:type="character" w:customStyle="1" w:styleId="google-src-text1">
    <w:name w:val="google-src-text1"/>
    <w:basedOn w:val="a0"/>
    <w:rsid w:val="00EE7511"/>
    <w:rPr>
      <w:vanish/>
      <w:webHidden w:val="0"/>
      <w:specVanish w:val="0"/>
    </w:rPr>
  </w:style>
  <w:style w:type="paragraph" w:customStyle="1" w:styleId="Default">
    <w:name w:val="Default"/>
    <w:rsid w:val="00EE75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google-src-active-text">
    <w:name w:val="google-src-active-text"/>
    <w:basedOn w:val="a"/>
    <w:rsid w:val="00EE7511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longtext1">
    <w:name w:val="long_text1"/>
    <w:basedOn w:val="a0"/>
    <w:rsid w:val="00EE7511"/>
    <w:rPr>
      <w:sz w:val="13"/>
      <w:szCs w:val="13"/>
    </w:rPr>
  </w:style>
  <w:style w:type="paragraph" w:customStyle="1" w:styleId="inputradio">
    <w:name w:val="inputradio"/>
    <w:basedOn w:val="a"/>
    <w:rsid w:val="00EE7511"/>
    <w:pPr>
      <w:spacing w:before="72" w:after="72"/>
    </w:pPr>
    <w:rPr>
      <w:rFonts w:ascii="Arial Unicode MS" w:eastAsia="Arial Unicode MS" w:hAnsi="Arial Unicode MS" w:cs="Arial Unicode MS"/>
      <w:lang w:val="fr-FR" w:eastAsia="fr-FR"/>
    </w:rPr>
  </w:style>
  <w:style w:type="paragraph" w:styleId="ab">
    <w:name w:val="header"/>
    <w:basedOn w:val="a"/>
    <w:link w:val="ac"/>
    <w:rsid w:val="00EE7511"/>
    <w:pPr>
      <w:tabs>
        <w:tab w:val="center" w:pos="4252"/>
        <w:tab w:val="right" w:pos="8504"/>
      </w:tabs>
      <w:jc w:val="both"/>
    </w:pPr>
    <w:rPr>
      <w:rFonts w:ascii="Helv" w:hAnsi="Helv" w:cs="Helv"/>
      <w:kern w:val="28"/>
      <w:sz w:val="20"/>
      <w:szCs w:val="20"/>
      <w:lang w:val="ca-ES" w:eastAsia="es-ES"/>
    </w:rPr>
  </w:style>
  <w:style w:type="character" w:customStyle="1" w:styleId="ac">
    <w:name w:val="Верхний колонтитул Знак"/>
    <w:basedOn w:val="a0"/>
    <w:link w:val="ab"/>
    <w:rsid w:val="00EE7511"/>
    <w:rPr>
      <w:rFonts w:ascii="Helv" w:eastAsia="Times New Roman" w:hAnsi="Helv" w:cs="Helv"/>
      <w:kern w:val="28"/>
      <w:sz w:val="20"/>
      <w:szCs w:val="20"/>
      <w:lang w:val="ca-ES" w:eastAsia="es-ES"/>
    </w:rPr>
  </w:style>
  <w:style w:type="paragraph" w:styleId="ad">
    <w:name w:val="footer"/>
    <w:basedOn w:val="a"/>
    <w:link w:val="ae"/>
    <w:uiPriority w:val="99"/>
    <w:rsid w:val="00EE7511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E7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"/>
    <w:uiPriority w:val="39"/>
    <w:semiHidden/>
    <w:unhideWhenUsed/>
    <w:qFormat/>
    <w:rsid w:val="00EE7511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en-US" w:eastAsia="en-US"/>
    </w:rPr>
  </w:style>
  <w:style w:type="paragraph" w:styleId="12">
    <w:name w:val="toc 1"/>
    <w:basedOn w:val="a"/>
    <w:next w:val="a"/>
    <w:autoRedefine/>
    <w:uiPriority w:val="39"/>
    <w:rsid w:val="00EE75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2014-05-15T21:36:00Z</dcterms:created>
  <dcterms:modified xsi:type="dcterms:W3CDTF">2014-05-16T18:06:00Z</dcterms:modified>
</cp:coreProperties>
</file>